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6EE7C" w14:textId="211D32E0" w:rsidR="00D93D88" w:rsidRPr="00D93D88" w:rsidRDefault="00D93D88" w:rsidP="00D93D88">
      <w:pPr>
        <w:jc w:val="right"/>
        <w:rPr>
          <w:rFonts w:ascii="Garamond" w:hAnsi="Garamond"/>
          <w:lang w:val="en-US"/>
        </w:rPr>
      </w:pPr>
      <w:r w:rsidRPr="00D93D88">
        <w:rPr>
          <w:rFonts w:ascii="Garamond" w:hAnsi="Garamond"/>
          <w:lang w:val="en-US"/>
        </w:rPr>
        <w:t>ISPA Conference</w:t>
      </w:r>
      <w:r>
        <w:rPr>
          <w:rFonts w:ascii="Garamond" w:hAnsi="Garamond"/>
          <w:lang w:val="en-US"/>
        </w:rPr>
        <w:t xml:space="preserve"> 2021</w:t>
      </w:r>
    </w:p>
    <w:p w14:paraId="67BBB046" w14:textId="4272D75F" w:rsidR="00D93D88" w:rsidRDefault="00D93D88" w:rsidP="00D93D88">
      <w:pPr>
        <w:jc w:val="right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Public Space: t</w:t>
      </w:r>
      <w:r w:rsidRPr="00D93D88">
        <w:rPr>
          <w:rFonts w:ascii="Garamond" w:hAnsi="Garamond"/>
          <w:lang w:val="en-US"/>
        </w:rPr>
        <w:t xml:space="preserve">he Real and the </w:t>
      </w:r>
      <w:r>
        <w:rPr>
          <w:rFonts w:ascii="Garamond" w:hAnsi="Garamond"/>
          <w:lang w:val="en-US"/>
        </w:rPr>
        <w:t>Ideal</w:t>
      </w:r>
    </w:p>
    <w:p w14:paraId="4ABD2DC1" w14:textId="56912193" w:rsidR="009C6AD5" w:rsidRDefault="009C6AD5" w:rsidP="00D93D88">
      <w:pPr>
        <w:jc w:val="right"/>
        <w:rPr>
          <w:rFonts w:ascii="Garamond" w:hAnsi="Garamond"/>
          <w:lang w:val="en-US"/>
        </w:rPr>
      </w:pPr>
    </w:p>
    <w:p w14:paraId="18C1E3CA" w14:textId="614C78A0" w:rsidR="009C6AD5" w:rsidRDefault="009C6AD5" w:rsidP="009C6AD5">
      <w:pPr>
        <w:jc w:val="center"/>
        <w:rPr>
          <w:rFonts w:ascii="Garamond" w:hAnsi="Garamond"/>
          <w:lang w:val="en-US"/>
        </w:rPr>
      </w:pPr>
    </w:p>
    <w:p w14:paraId="4DBC6D76" w14:textId="50C031D1" w:rsidR="009C6AD5" w:rsidRDefault="009C6AD5" w:rsidP="009C6AD5">
      <w:pPr>
        <w:spacing w:line="276" w:lineRule="auto"/>
        <w:jc w:val="center"/>
        <w:rPr>
          <w:rFonts w:ascii="Garamond" w:hAnsi="Garamond"/>
          <w:lang w:val="en-US"/>
        </w:rPr>
      </w:pPr>
    </w:p>
    <w:p w14:paraId="0F051B82" w14:textId="6E2EFBC4" w:rsidR="009C6AD5" w:rsidRPr="00A13D68" w:rsidRDefault="009C6AD5" w:rsidP="009C6AD5">
      <w:pPr>
        <w:spacing w:line="276" w:lineRule="auto"/>
        <w:jc w:val="center"/>
        <w:rPr>
          <w:rFonts w:ascii="Garamond" w:hAnsi="Garamond"/>
          <w:b/>
          <w:bCs/>
          <w:lang w:val="en-US"/>
        </w:rPr>
      </w:pPr>
      <w:r w:rsidRPr="00A13D68">
        <w:rPr>
          <w:rFonts w:ascii="Garamond" w:hAnsi="Garamond"/>
          <w:b/>
          <w:bCs/>
          <w:lang w:val="en-US"/>
        </w:rPr>
        <w:t>The Garden as Paradise</w:t>
      </w:r>
      <w:r w:rsidR="00A13D68">
        <w:rPr>
          <w:rFonts w:ascii="Garamond" w:hAnsi="Garamond"/>
          <w:b/>
          <w:bCs/>
          <w:lang w:val="en-US"/>
        </w:rPr>
        <w:t xml:space="preserve">, as </w:t>
      </w:r>
      <w:r w:rsidR="0046182F">
        <w:rPr>
          <w:rFonts w:ascii="Garamond" w:hAnsi="Garamond"/>
          <w:b/>
          <w:bCs/>
          <w:lang w:val="en-US"/>
        </w:rPr>
        <w:t xml:space="preserve">a </w:t>
      </w:r>
      <w:r w:rsidR="00A13D68">
        <w:rPr>
          <w:rFonts w:ascii="Garamond" w:hAnsi="Garamond"/>
          <w:b/>
          <w:bCs/>
          <w:lang w:val="en-US"/>
        </w:rPr>
        <w:t>Picture or as Commons</w:t>
      </w:r>
      <w:r w:rsidR="00643E94">
        <w:rPr>
          <w:rFonts w:ascii="Garamond" w:hAnsi="Garamond"/>
          <w:b/>
          <w:bCs/>
          <w:lang w:val="en-US"/>
        </w:rPr>
        <w:t>:</w:t>
      </w:r>
      <w:r w:rsidRPr="00A13D68">
        <w:rPr>
          <w:rFonts w:ascii="Garamond" w:hAnsi="Garamond"/>
          <w:b/>
          <w:bCs/>
          <w:lang w:val="en-US"/>
        </w:rPr>
        <w:t xml:space="preserve"> </w:t>
      </w:r>
    </w:p>
    <w:p w14:paraId="7843F29E" w14:textId="71083AC9" w:rsidR="009C6AD5" w:rsidRPr="00A13D68" w:rsidRDefault="009C6AD5" w:rsidP="009C6AD5">
      <w:pPr>
        <w:spacing w:line="276" w:lineRule="auto"/>
        <w:jc w:val="center"/>
        <w:rPr>
          <w:rFonts w:ascii="Garamond" w:hAnsi="Garamond"/>
          <w:b/>
          <w:bCs/>
          <w:lang w:val="en-US"/>
        </w:rPr>
      </w:pPr>
      <w:r w:rsidRPr="00A13D68">
        <w:rPr>
          <w:rFonts w:ascii="Garamond" w:hAnsi="Garamond"/>
          <w:b/>
          <w:bCs/>
          <w:lang w:val="en-US"/>
        </w:rPr>
        <w:t>Changing Ideals for Green Public Spaces in India</w:t>
      </w:r>
    </w:p>
    <w:p w14:paraId="26E66836" w14:textId="77777777" w:rsidR="009C6AD5" w:rsidRDefault="009C6AD5" w:rsidP="009C6AD5">
      <w:pPr>
        <w:spacing w:line="276" w:lineRule="auto"/>
        <w:jc w:val="center"/>
        <w:rPr>
          <w:rFonts w:ascii="Garamond" w:hAnsi="Garamond"/>
          <w:lang w:val="en-US"/>
        </w:rPr>
      </w:pPr>
    </w:p>
    <w:p w14:paraId="63C420E3" w14:textId="4CD873FC" w:rsidR="009C6AD5" w:rsidRDefault="009C6AD5" w:rsidP="009C6AD5">
      <w:pPr>
        <w:spacing w:line="276" w:lineRule="auto"/>
        <w:jc w:val="center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By Tea Lobo</w:t>
      </w:r>
    </w:p>
    <w:p w14:paraId="5FA80BC5" w14:textId="7038950A" w:rsidR="009C6AD5" w:rsidRDefault="009C6AD5" w:rsidP="009C6AD5">
      <w:pPr>
        <w:spacing w:line="276" w:lineRule="auto"/>
        <w:rPr>
          <w:rFonts w:ascii="Garamond" w:hAnsi="Garamond"/>
          <w:lang w:val="en-US"/>
        </w:rPr>
      </w:pPr>
    </w:p>
    <w:p w14:paraId="5AFBD1FD" w14:textId="2901D12E" w:rsidR="00774D6E" w:rsidRDefault="009C6AD5" w:rsidP="009C6AD5">
      <w:pPr>
        <w:spacing w:line="276" w:lineRule="auto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 xml:space="preserve">The premodern ideal of the garden across cultures and religions is that of a paradise on Earth. For instance, the South Indian </w:t>
      </w:r>
      <w:proofErr w:type="spellStart"/>
      <w:r>
        <w:rPr>
          <w:rFonts w:ascii="Garamond" w:hAnsi="Garamond"/>
          <w:lang w:val="en-US"/>
        </w:rPr>
        <w:t>Bahamani</w:t>
      </w:r>
      <w:proofErr w:type="spellEnd"/>
      <w:r>
        <w:rPr>
          <w:rFonts w:ascii="Garamond" w:hAnsi="Garamond"/>
          <w:lang w:val="en-US"/>
        </w:rPr>
        <w:t xml:space="preserve"> sultanate (founded in 1347) aimed to create </w:t>
      </w:r>
      <w:r w:rsidR="00176BBF">
        <w:rPr>
          <w:rFonts w:ascii="Garamond" w:hAnsi="Garamond"/>
          <w:lang w:val="en-US"/>
        </w:rPr>
        <w:t>paradisical</w:t>
      </w:r>
      <w:r>
        <w:rPr>
          <w:rFonts w:ascii="Garamond" w:hAnsi="Garamond"/>
          <w:lang w:val="en-US"/>
        </w:rPr>
        <w:t xml:space="preserve"> conditions by means of the built environment, and gardens were a crucial element to that vision (Srinivas 2015, 54). </w:t>
      </w:r>
      <w:r w:rsidR="00D20A55">
        <w:rPr>
          <w:rFonts w:ascii="Garamond" w:hAnsi="Garamond"/>
          <w:lang w:val="en-US"/>
        </w:rPr>
        <w:t>Similar ideas were realized in Europe, for instance in Oxford, where its gardens were built to re-create the Garden of Eden (</w:t>
      </w:r>
      <w:proofErr w:type="spellStart"/>
      <w:r w:rsidR="00D20A55">
        <w:rPr>
          <w:rFonts w:ascii="Garamond" w:hAnsi="Garamond"/>
          <w:lang w:val="en-US"/>
        </w:rPr>
        <w:t>Prest</w:t>
      </w:r>
      <w:proofErr w:type="spellEnd"/>
      <w:r w:rsidR="00D20A55">
        <w:rPr>
          <w:rFonts w:ascii="Garamond" w:hAnsi="Garamond"/>
          <w:lang w:val="en-US"/>
        </w:rPr>
        <w:t xml:space="preserve"> 1981, 6). </w:t>
      </w:r>
      <w:r w:rsidR="00CF1308">
        <w:rPr>
          <w:rFonts w:ascii="Garamond" w:hAnsi="Garamond"/>
          <w:lang w:val="en-US"/>
        </w:rPr>
        <w:t xml:space="preserve">Even today, South Indian </w:t>
      </w:r>
      <w:r w:rsidR="0020664B">
        <w:rPr>
          <w:rFonts w:ascii="Garamond" w:hAnsi="Garamond"/>
          <w:lang w:val="en-US"/>
        </w:rPr>
        <w:t xml:space="preserve">utopian </w:t>
      </w:r>
      <w:r w:rsidR="00CF1308">
        <w:rPr>
          <w:rFonts w:ascii="Garamond" w:hAnsi="Garamond"/>
          <w:lang w:val="en-US"/>
        </w:rPr>
        <w:t xml:space="preserve">urban designs are biocentric, for instance with reference to the ideal to transform an entire city into a garden (Srinivas 2015, 83). </w:t>
      </w:r>
      <w:r w:rsidR="0089117C">
        <w:rPr>
          <w:rFonts w:ascii="Garamond" w:hAnsi="Garamond"/>
          <w:lang w:val="en-US"/>
        </w:rPr>
        <w:t xml:space="preserve">In Europe and North America, this premodern </w:t>
      </w:r>
      <w:proofErr w:type="spellStart"/>
      <w:r w:rsidR="0089117C">
        <w:rPr>
          <w:rFonts w:ascii="Garamond" w:hAnsi="Garamond"/>
          <w:lang w:val="en-US"/>
        </w:rPr>
        <w:t>paradiasical</w:t>
      </w:r>
      <w:proofErr w:type="spellEnd"/>
      <w:r w:rsidR="0089117C">
        <w:rPr>
          <w:rFonts w:ascii="Garamond" w:hAnsi="Garamond"/>
          <w:lang w:val="en-US"/>
        </w:rPr>
        <w:t xml:space="preserve"> ideal shifted and transformed into the </w:t>
      </w:r>
      <w:r w:rsidR="00ED565D">
        <w:rPr>
          <w:rFonts w:ascii="Garamond" w:hAnsi="Garamond"/>
          <w:lang w:val="en-US"/>
        </w:rPr>
        <w:t xml:space="preserve">eighteenth century </w:t>
      </w:r>
      <w:r w:rsidR="0089117C">
        <w:rPr>
          <w:rFonts w:ascii="Garamond" w:hAnsi="Garamond"/>
          <w:lang w:val="en-US"/>
        </w:rPr>
        <w:t xml:space="preserve">romantic ideal of nature as a picture </w:t>
      </w:r>
      <w:r w:rsidR="00DB2A6C">
        <w:rPr>
          <w:rFonts w:ascii="Garamond" w:hAnsi="Garamond"/>
          <w:lang w:val="en-US"/>
        </w:rPr>
        <w:t>(Ferguson 2016, 120).</w:t>
      </w:r>
      <w:r w:rsidR="00774D6E">
        <w:rPr>
          <w:rFonts w:ascii="Garamond" w:hAnsi="Garamond"/>
          <w:lang w:val="en-US"/>
        </w:rPr>
        <w:t xml:space="preserve"> For instance, the Central Park in New York was designed for the specific purpose of </w:t>
      </w:r>
      <w:r w:rsidR="00643E94">
        <w:rPr>
          <w:rFonts w:ascii="Garamond" w:hAnsi="Garamond"/>
          <w:lang w:val="en-US"/>
        </w:rPr>
        <w:t>displaying</w:t>
      </w:r>
      <w:r w:rsidR="00774D6E">
        <w:rPr>
          <w:rFonts w:ascii="Garamond" w:hAnsi="Garamond"/>
          <w:lang w:val="en-US"/>
        </w:rPr>
        <w:t xml:space="preserve"> </w:t>
      </w:r>
      <w:r w:rsidR="00EC198D">
        <w:rPr>
          <w:rFonts w:ascii="Garamond" w:hAnsi="Garamond"/>
          <w:lang w:val="en-US"/>
        </w:rPr>
        <w:t xml:space="preserve">artificial </w:t>
      </w:r>
      <w:r w:rsidR="00774D6E">
        <w:rPr>
          <w:rFonts w:ascii="Garamond" w:hAnsi="Garamond"/>
          <w:lang w:val="en-US"/>
        </w:rPr>
        <w:t xml:space="preserve">American wilderness </w:t>
      </w:r>
      <w:r w:rsidR="00FA2C5F">
        <w:rPr>
          <w:rFonts w:ascii="Garamond" w:hAnsi="Garamond"/>
          <w:lang w:val="en-US"/>
        </w:rPr>
        <w:t>in</w:t>
      </w:r>
      <w:r w:rsidR="00774D6E">
        <w:rPr>
          <w:rFonts w:ascii="Garamond" w:hAnsi="Garamond"/>
          <w:lang w:val="en-US"/>
        </w:rPr>
        <w:t xml:space="preserve"> stark contrast to the city. The fact that the park was appropriated for ball-playing caused great chagrin to its designer Frederick Law Olmsted (</w:t>
      </w:r>
      <w:proofErr w:type="spellStart"/>
      <w:r w:rsidR="00774D6E">
        <w:rPr>
          <w:rFonts w:ascii="Garamond" w:hAnsi="Garamond"/>
          <w:lang w:val="en-US"/>
        </w:rPr>
        <w:t>Lampugnani</w:t>
      </w:r>
      <w:proofErr w:type="spellEnd"/>
      <w:r w:rsidR="00774D6E">
        <w:rPr>
          <w:rFonts w:ascii="Garamond" w:hAnsi="Garamond"/>
          <w:lang w:val="en-US"/>
        </w:rPr>
        <w:t xml:space="preserve"> 2005).</w:t>
      </w:r>
      <w:r w:rsidR="00ED565D">
        <w:rPr>
          <w:rFonts w:ascii="Garamond" w:hAnsi="Garamond"/>
          <w:lang w:val="en-US"/>
        </w:rPr>
        <w:t xml:space="preserve"> </w:t>
      </w:r>
    </w:p>
    <w:p w14:paraId="5B55CBAB" w14:textId="37797F2A" w:rsidR="0089117C" w:rsidRDefault="00ED565D" w:rsidP="00E77996">
      <w:pPr>
        <w:spacing w:line="276" w:lineRule="auto"/>
        <w:ind w:firstLine="72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In contemporary India, th</w:t>
      </w:r>
      <w:r w:rsidR="007A2587">
        <w:rPr>
          <w:rFonts w:ascii="Garamond" w:hAnsi="Garamond"/>
          <w:lang w:val="en-US"/>
        </w:rPr>
        <w:t>is</w:t>
      </w:r>
      <w:r>
        <w:rPr>
          <w:rFonts w:ascii="Garamond" w:hAnsi="Garamond"/>
          <w:lang w:val="en-US"/>
        </w:rPr>
        <w:t xml:space="preserve"> </w:t>
      </w:r>
      <w:r w:rsidR="00384268">
        <w:rPr>
          <w:rFonts w:ascii="Garamond" w:hAnsi="Garamond"/>
          <w:lang w:val="en-US"/>
        </w:rPr>
        <w:t xml:space="preserve">picturesque </w:t>
      </w:r>
      <w:r>
        <w:rPr>
          <w:rFonts w:ascii="Garamond" w:hAnsi="Garamond"/>
          <w:lang w:val="en-US"/>
        </w:rPr>
        <w:t xml:space="preserve">shift </w:t>
      </w:r>
      <w:r w:rsidR="0074585F">
        <w:rPr>
          <w:rFonts w:ascii="Garamond" w:hAnsi="Garamond"/>
          <w:lang w:val="en-US"/>
        </w:rPr>
        <w:t>is</w:t>
      </w:r>
      <w:r>
        <w:rPr>
          <w:rFonts w:ascii="Garamond" w:hAnsi="Garamond"/>
          <w:lang w:val="en-US"/>
        </w:rPr>
        <w:t xml:space="preserve"> currently taking place. For instance, </w:t>
      </w:r>
      <w:r w:rsidR="00E77996">
        <w:rPr>
          <w:rFonts w:ascii="Garamond" w:hAnsi="Garamond"/>
          <w:lang w:val="en-US"/>
        </w:rPr>
        <w:t xml:space="preserve">Bengaluru’s parks and gardens are increasingly seen as masterpieces of art to be gazed upon rather than directly used (Nagendra 2016, 191). </w:t>
      </w:r>
      <w:r w:rsidR="002968AD">
        <w:rPr>
          <w:rFonts w:ascii="Garamond" w:hAnsi="Garamond"/>
          <w:lang w:val="en-US"/>
        </w:rPr>
        <w:t xml:space="preserve">However, this model of public green spaces </w:t>
      </w:r>
      <w:r w:rsidR="00C86DEE">
        <w:rPr>
          <w:rFonts w:ascii="Garamond" w:hAnsi="Garamond"/>
          <w:lang w:val="en-US"/>
        </w:rPr>
        <w:t>goes</w:t>
      </w:r>
      <w:r w:rsidR="002968AD">
        <w:rPr>
          <w:rFonts w:ascii="Garamond" w:hAnsi="Garamond"/>
          <w:lang w:val="en-US"/>
        </w:rPr>
        <w:t xml:space="preserve"> against the grain of traditional Indian philosophies. While the picture model of nature introduces an inherent distance between human and non-human nature, in India culture and the environment have been viewed as complementary rather than as a binary (</w:t>
      </w:r>
      <w:r w:rsidR="002968AD" w:rsidRPr="00627B7C">
        <w:rPr>
          <w:rFonts w:ascii="Garamond" w:hAnsi="Garamond"/>
          <w:lang w:val="en-US"/>
        </w:rPr>
        <w:t>Amirthalingam 2016, 64).</w:t>
      </w:r>
      <w:r w:rsidR="002968AD">
        <w:rPr>
          <w:rFonts w:ascii="Garamond" w:hAnsi="Garamond"/>
          <w:lang w:val="en-US"/>
        </w:rPr>
        <w:t xml:space="preserve"> </w:t>
      </w:r>
      <w:r w:rsidR="005D303E" w:rsidRPr="00627B7C">
        <w:rPr>
          <w:rFonts w:ascii="Garamond" w:hAnsi="Garamond"/>
          <w:lang w:val="en-US"/>
        </w:rPr>
        <w:t xml:space="preserve">As in other Asian societies, sacred natural spaces are viewed as linked with the livelihood and well-being of people (Delgado et al 2010, </w:t>
      </w:r>
      <w:proofErr w:type="spellStart"/>
      <w:r w:rsidR="005D303E" w:rsidRPr="00627B7C">
        <w:rPr>
          <w:rFonts w:ascii="Garamond" w:hAnsi="Garamond"/>
          <w:lang w:val="en-US"/>
        </w:rPr>
        <w:t>Shengji</w:t>
      </w:r>
      <w:proofErr w:type="spellEnd"/>
      <w:r w:rsidR="005D303E" w:rsidRPr="00627B7C">
        <w:rPr>
          <w:rFonts w:ascii="Garamond" w:hAnsi="Garamond"/>
          <w:lang w:val="en-US"/>
        </w:rPr>
        <w:t xml:space="preserve"> 2010). Typically there would be no sharp distinction between wild and built-up spaces (Hamzah 2016, 24).</w:t>
      </w:r>
      <w:r w:rsidR="00B0670F">
        <w:rPr>
          <w:rFonts w:ascii="Garamond" w:hAnsi="Garamond"/>
          <w:lang w:val="en-US"/>
        </w:rPr>
        <w:t xml:space="preserve"> </w:t>
      </w:r>
      <w:r w:rsidR="00B0670F" w:rsidRPr="00627B7C">
        <w:rPr>
          <w:rFonts w:ascii="Garamond" w:hAnsi="Garamond"/>
          <w:lang w:val="en-US"/>
        </w:rPr>
        <w:t xml:space="preserve">Urban vegetation has traditionally been used for nutritional, medicinal, ritual, cosmetic and social purposes (Nagendra &amp; </w:t>
      </w:r>
      <w:proofErr w:type="spellStart"/>
      <w:r w:rsidR="00B0670F" w:rsidRPr="00627B7C">
        <w:rPr>
          <w:rFonts w:ascii="Garamond" w:hAnsi="Garamond"/>
          <w:lang w:val="en-US"/>
        </w:rPr>
        <w:t>Mundoli</w:t>
      </w:r>
      <w:proofErr w:type="spellEnd"/>
      <w:r w:rsidR="00B0670F" w:rsidRPr="00627B7C">
        <w:rPr>
          <w:rFonts w:ascii="Garamond" w:hAnsi="Garamond"/>
          <w:lang w:val="en-US"/>
        </w:rPr>
        <w:t xml:space="preserve"> 2019).</w:t>
      </w:r>
      <w:r w:rsidR="00B0670F">
        <w:rPr>
          <w:rFonts w:ascii="Garamond" w:hAnsi="Garamond"/>
          <w:lang w:val="en-US"/>
        </w:rPr>
        <w:t xml:space="preserve"> </w:t>
      </w:r>
      <w:r w:rsidR="00B0670F" w:rsidRPr="00627B7C">
        <w:rPr>
          <w:rFonts w:ascii="Garamond" w:hAnsi="Garamond"/>
          <w:lang w:val="en-US"/>
        </w:rPr>
        <w:t>Especially the Indian urban poor</w:t>
      </w:r>
      <w:r w:rsidR="00B0670F">
        <w:rPr>
          <w:rFonts w:ascii="Garamond" w:hAnsi="Garamond"/>
          <w:lang w:val="en-US"/>
        </w:rPr>
        <w:t>,</w:t>
      </w:r>
      <w:r w:rsidR="00B0670F" w:rsidRPr="00627B7C">
        <w:rPr>
          <w:rFonts w:ascii="Garamond" w:hAnsi="Garamond"/>
          <w:lang w:val="en-US"/>
        </w:rPr>
        <w:t xml:space="preserve"> such as slum and roadside dwellers</w:t>
      </w:r>
      <w:r w:rsidR="00B0670F">
        <w:rPr>
          <w:rFonts w:ascii="Garamond" w:hAnsi="Garamond"/>
          <w:lang w:val="en-US"/>
        </w:rPr>
        <w:t>,</w:t>
      </w:r>
      <w:r w:rsidR="00B0670F" w:rsidRPr="00627B7C">
        <w:rPr>
          <w:rFonts w:ascii="Garamond" w:hAnsi="Garamond"/>
          <w:lang w:val="en-US"/>
        </w:rPr>
        <w:t xml:space="preserve"> exhibit enormous knowledge on uses of common indigenous plants</w:t>
      </w:r>
      <w:r w:rsidR="00B0670F">
        <w:rPr>
          <w:rFonts w:ascii="Garamond" w:hAnsi="Garamond"/>
          <w:lang w:val="en-US"/>
        </w:rPr>
        <w:t>. Their humble home gardens are some of the last oases of biodiversity in the city that is increasingly planting palm trees to mimic a Californian aesthetic and project the image of the Silicon Valley of the Global South</w:t>
      </w:r>
      <w:r w:rsidR="00B0670F" w:rsidRPr="00627B7C">
        <w:rPr>
          <w:rFonts w:ascii="Garamond" w:hAnsi="Garamond"/>
          <w:lang w:val="en-US"/>
        </w:rPr>
        <w:t xml:space="preserve"> (Nagendra 2016</w:t>
      </w:r>
      <w:r w:rsidR="00B0670F">
        <w:rPr>
          <w:rFonts w:ascii="Garamond" w:hAnsi="Garamond"/>
          <w:lang w:val="en-US"/>
        </w:rPr>
        <w:t>, 79-97</w:t>
      </w:r>
      <w:r w:rsidR="00B0670F" w:rsidRPr="00627B7C">
        <w:rPr>
          <w:rFonts w:ascii="Garamond" w:hAnsi="Garamond"/>
          <w:lang w:val="en-US"/>
        </w:rPr>
        <w:t>).</w:t>
      </w:r>
      <w:r w:rsidR="00A525B8">
        <w:rPr>
          <w:rFonts w:ascii="Garamond" w:hAnsi="Garamond"/>
          <w:lang w:val="en-US"/>
        </w:rPr>
        <w:t xml:space="preserve"> The urban poor are increasingly prohibited from foraging in public parks, which impacts their livelihood strategies, and parks are increasingly reserved for the recreation of the elites (</w:t>
      </w:r>
      <w:proofErr w:type="spellStart"/>
      <w:r w:rsidR="00A525B8" w:rsidRPr="00627B7C">
        <w:rPr>
          <w:rFonts w:ascii="Garamond" w:hAnsi="Garamond"/>
          <w:lang w:val="en-US"/>
        </w:rPr>
        <w:t>Basu</w:t>
      </w:r>
      <w:proofErr w:type="spellEnd"/>
      <w:r w:rsidR="00A525B8" w:rsidRPr="00627B7C">
        <w:rPr>
          <w:rFonts w:ascii="Garamond" w:hAnsi="Garamond"/>
          <w:lang w:val="en-US"/>
        </w:rPr>
        <w:t xml:space="preserve"> &amp; Nagendra 2021; Somesh et al 2020)</w:t>
      </w:r>
      <w:r w:rsidR="00A525B8">
        <w:rPr>
          <w:rFonts w:ascii="Garamond" w:hAnsi="Garamond"/>
          <w:lang w:val="en-US"/>
        </w:rPr>
        <w:t>.</w:t>
      </w:r>
      <w:r w:rsidR="00FC1921">
        <w:rPr>
          <w:rFonts w:ascii="Garamond" w:hAnsi="Garamond"/>
          <w:lang w:val="en-US"/>
        </w:rPr>
        <w:t xml:space="preserve"> </w:t>
      </w:r>
    </w:p>
    <w:p w14:paraId="45BA8E07" w14:textId="39D91BC3" w:rsidR="009C6AD5" w:rsidRPr="00D93D88" w:rsidRDefault="00966FC2" w:rsidP="002900F1">
      <w:pPr>
        <w:spacing w:line="276" w:lineRule="auto"/>
        <w:ind w:firstLine="72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It</w:t>
      </w:r>
      <w:r w:rsidR="00375E74">
        <w:rPr>
          <w:rFonts w:ascii="Garamond" w:hAnsi="Garamond"/>
          <w:lang w:val="en-US"/>
        </w:rPr>
        <w:t xml:space="preserve"> is impossible to </w:t>
      </w:r>
      <w:r w:rsidR="00A525B8">
        <w:rPr>
          <w:rFonts w:ascii="Garamond" w:hAnsi="Garamond"/>
          <w:lang w:val="en-US"/>
        </w:rPr>
        <w:t xml:space="preserve">completely </w:t>
      </w:r>
      <w:r w:rsidR="00375E74">
        <w:rPr>
          <w:rFonts w:ascii="Garamond" w:hAnsi="Garamond"/>
          <w:lang w:val="en-US"/>
        </w:rPr>
        <w:t>return to a premodern understanding of green spaces in the city</w:t>
      </w:r>
      <w:r>
        <w:rPr>
          <w:rFonts w:ascii="Garamond" w:hAnsi="Garamond"/>
          <w:lang w:val="en-US"/>
        </w:rPr>
        <w:t xml:space="preserve">, even though in India the premodern understanding coexists with the modern, as when for instance a sacred tree is left uncut in the middle of a busy road. </w:t>
      </w:r>
      <w:r w:rsidR="00180CB3">
        <w:rPr>
          <w:rFonts w:ascii="Garamond" w:hAnsi="Garamond"/>
          <w:lang w:val="en-US"/>
        </w:rPr>
        <w:t xml:space="preserve">However, it is possible to strive for </w:t>
      </w:r>
      <w:r w:rsidR="002D18D6">
        <w:rPr>
          <w:rFonts w:ascii="Garamond" w:hAnsi="Garamond"/>
          <w:lang w:val="en-US"/>
        </w:rPr>
        <w:t>green urban commons</w:t>
      </w:r>
      <w:r w:rsidR="00180CB3">
        <w:rPr>
          <w:rFonts w:ascii="Garamond" w:hAnsi="Garamond"/>
          <w:lang w:val="en-US"/>
        </w:rPr>
        <w:t xml:space="preserve"> in order to create urban environments more in line with livelihood strategies of the urban poor in India. </w:t>
      </w:r>
      <w:r w:rsidR="004B4634">
        <w:rPr>
          <w:rFonts w:ascii="Garamond" w:hAnsi="Garamond"/>
          <w:lang w:val="en-US"/>
        </w:rPr>
        <w:t>Admiring nature as a work of art is a luxury of the wealthy, while slum-dwellers have numerous practical uses for it</w:t>
      </w:r>
      <w:r w:rsidR="00FC1921">
        <w:rPr>
          <w:rFonts w:ascii="Garamond" w:hAnsi="Garamond"/>
          <w:lang w:val="en-US"/>
        </w:rPr>
        <w:t>.</w:t>
      </w:r>
      <w:r w:rsidR="004B4634">
        <w:rPr>
          <w:rFonts w:ascii="Garamond" w:hAnsi="Garamond"/>
          <w:lang w:val="en-US"/>
        </w:rPr>
        <w:t xml:space="preserve"> </w:t>
      </w:r>
    </w:p>
    <w:sectPr w:rsidR="009C6AD5" w:rsidRPr="00D93D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A572C" w14:textId="77777777" w:rsidR="00141598" w:rsidRDefault="00141598" w:rsidP="00176BBF">
      <w:r>
        <w:separator/>
      </w:r>
    </w:p>
  </w:endnote>
  <w:endnote w:type="continuationSeparator" w:id="0">
    <w:p w14:paraId="39424AA9" w14:textId="77777777" w:rsidR="00141598" w:rsidRDefault="00141598" w:rsidP="00176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E360A4" w14:textId="77777777" w:rsidR="00141598" w:rsidRDefault="00141598" w:rsidP="00176BBF">
      <w:r>
        <w:separator/>
      </w:r>
    </w:p>
  </w:footnote>
  <w:footnote w:type="continuationSeparator" w:id="0">
    <w:p w14:paraId="08C8FBE5" w14:textId="77777777" w:rsidR="00141598" w:rsidRDefault="00141598" w:rsidP="00176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D88"/>
    <w:rsid w:val="00141598"/>
    <w:rsid w:val="00176BBF"/>
    <w:rsid w:val="00180CB3"/>
    <w:rsid w:val="0020664B"/>
    <w:rsid w:val="002900F1"/>
    <w:rsid w:val="002968AD"/>
    <w:rsid w:val="002D18D6"/>
    <w:rsid w:val="003257BE"/>
    <w:rsid w:val="00375E74"/>
    <w:rsid w:val="00384268"/>
    <w:rsid w:val="004377C2"/>
    <w:rsid w:val="0046182F"/>
    <w:rsid w:val="004B4634"/>
    <w:rsid w:val="004D0D53"/>
    <w:rsid w:val="005D303E"/>
    <w:rsid w:val="00643E94"/>
    <w:rsid w:val="0074585F"/>
    <w:rsid w:val="00774D6E"/>
    <w:rsid w:val="007A2587"/>
    <w:rsid w:val="0089117C"/>
    <w:rsid w:val="00966FC2"/>
    <w:rsid w:val="00996207"/>
    <w:rsid w:val="009C6AD5"/>
    <w:rsid w:val="00A13D68"/>
    <w:rsid w:val="00A525B8"/>
    <w:rsid w:val="00B0670F"/>
    <w:rsid w:val="00B759E2"/>
    <w:rsid w:val="00BF2A7D"/>
    <w:rsid w:val="00C86DEE"/>
    <w:rsid w:val="00CF1308"/>
    <w:rsid w:val="00CF4696"/>
    <w:rsid w:val="00D20A55"/>
    <w:rsid w:val="00D93D88"/>
    <w:rsid w:val="00DB2A6C"/>
    <w:rsid w:val="00E77996"/>
    <w:rsid w:val="00EC198D"/>
    <w:rsid w:val="00ED565D"/>
    <w:rsid w:val="00F468E1"/>
    <w:rsid w:val="00FA2C5F"/>
    <w:rsid w:val="00FB21D8"/>
    <w:rsid w:val="00FB3C1A"/>
    <w:rsid w:val="00FC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709758"/>
  <w15:chartTrackingRefBased/>
  <w15:docId w15:val="{0F0521E9-DEDB-AD42-BDD2-6142EAC6F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6B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BBF"/>
  </w:style>
  <w:style w:type="paragraph" w:styleId="Footer">
    <w:name w:val="footer"/>
    <w:basedOn w:val="Normal"/>
    <w:link w:val="FooterChar"/>
    <w:uiPriority w:val="99"/>
    <w:unhideWhenUsed/>
    <w:rsid w:val="00176B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Lobo</dc:creator>
  <cp:keywords/>
  <dc:description/>
  <cp:lastModifiedBy>Tea Lobo</cp:lastModifiedBy>
  <cp:revision>38</cp:revision>
  <dcterms:created xsi:type="dcterms:W3CDTF">2021-05-25T07:49:00Z</dcterms:created>
  <dcterms:modified xsi:type="dcterms:W3CDTF">2021-06-21T13:41:00Z</dcterms:modified>
</cp:coreProperties>
</file>